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222222"/>
        </w:rPr>
      </w:pPr>
      <w:r w:rsidDel="00000000" w:rsidR="00000000" w:rsidRPr="00000000">
        <w:rPr>
          <w:b w:val="1"/>
          <w:rtl w:val="0"/>
        </w:rPr>
        <w:t xml:space="preserve">CCTP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color w:val="222222"/>
        </w:rPr>
      </w:pPr>
      <w:r w:rsidDel="00000000" w:rsidR="00000000" w:rsidRPr="00000000">
        <w:rPr>
          <w:rtl w:val="0"/>
        </w:rPr>
        <w:t xml:space="preserve">Une</w:t>
      </w:r>
      <w:r w:rsidDel="00000000" w:rsidR="00000000" w:rsidRPr="00000000">
        <w:rPr>
          <w:color w:val="222222"/>
          <w:rtl w:val="0"/>
        </w:rPr>
        <w:t xml:space="preserve"> nurserie aquatique est une structure immergée conçue pour favoriser la protection et le développement des juvéniles des espèces aquatiques. Elle reproduit des conditions naturelles de refuge et de nourrissage, offrant ainsi un abri essentiel et sécurisé contre les prédateurs par l’utilisation de grilles métalliques à double treillis enfermant un remplissage propice (huîtres, pouzzolane, branches, liège,...).</w:t>
      </w:r>
    </w:p>
    <w:p w:rsidR="00000000" w:rsidDel="00000000" w:rsidP="00000000" w:rsidRDefault="00000000" w:rsidRPr="00000000" w14:paraId="00000003">
      <w:pPr>
        <w:spacing w:after="240" w:before="240" w:lineRule="auto"/>
        <w:jc w:val="both"/>
        <w:rPr>
          <w:color w:val="222222"/>
        </w:rPr>
      </w:pPr>
      <w:r w:rsidDel="00000000" w:rsidR="00000000" w:rsidRPr="00000000">
        <w:rPr>
          <w:color w:val="222222"/>
          <w:rtl w:val="0"/>
        </w:rPr>
        <w:t xml:space="preserve">La partie centrale est ainsi constituée d’un matériau naturel offrant de nombreuses cavités pour la fixation des larves et pour créer des zones de refuge aux alevins. Cette zone centrale est protégée par une première grille en treillis soudé à petite maille, empêchant l’accès aux prédateurs tout en laissant circuler les petits organismes. À l’extérieur, une seconde structure en treillis à grosse maille (100x100 mm) sert de protection supplémentaire.</w:t>
      </w:r>
    </w:p>
    <w:p w:rsidR="00000000" w:rsidDel="00000000" w:rsidP="00000000" w:rsidRDefault="00000000" w:rsidRPr="00000000" w14:paraId="00000004">
      <w:pPr>
        <w:spacing w:after="240" w:before="240" w:lineRule="auto"/>
        <w:jc w:val="both"/>
        <w:rPr>
          <w:color w:val="222222"/>
        </w:rPr>
      </w:pPr>
      <w:r w:rsidDel="00000000" w:rsidR="00000000" w:rsidRPr="00000000">
        <w:rPr>
          <w:color w:val="222222"/>
          <w:rtl w:val="0"/>
        </w:rPr>
        <w:t xml:space="preserve">Ce type de nurserie favorise la biodiversité dans des projets de restauration écologique en reconstituant des micro-habitats complexes, tout en étant robuste, modulaire et facile à immerger. Elle est idéale dans tous milieux aquatiques (ea</w:t>
      </w:r>
      <w:r w:rsidDel="00000000" w:rsidR="00000000" w:rsidRPr="00000000">
        <w:rPr>
          <w:rtl w:val="0"/>
        </w:rPr>
        <w:t xml:space="preserve">ux douces, saumâtres et salées)</w:t>
      </w:r>
      <w:r w:rsidDel="00000000" w:rsidR="00000000" w:rsidRPr="00000000">
        <w:rPr>
          <w:color w:val="222222"/>
          <w:rtl w:val="0"/>
        </w:rPr>
        <w:t xml:space="preserve">.</w:t>
      </w:r>
    </w:p>
    <w:p w:rsidR="00000000" w:rsidDel="00000000" w:rsidP="00000000" w:rsidRDefault="00000000" w:rsidRPr="00000000" w14:paraId="00000005">
      <w:pPr>
        <w:jc w:val="both"/>
        <w:rPr>
          <w:color w:val="222222"/>
        </w:rPr>
      </w:pPr>
      <w:r w:rsidDel="00000000" w:rsidR="00000000" w:rsidRPr="00000000">
        <w:rPr>
          <w:rtl w:val="0"/>
        </w:rPr>
        <w:t xml:space="preserve">La Maîtrise d'œuvre devra valider la provenance de la nurserie aquatique et elle sera de type Natura Gabions ou de qualité au moins équivalente.</w:t>
      </w:r>
      <w:r w:rsidDel="00000000" w:rsidR="00000000" w:rsidRPr="00000000">
        <w:rPr>
          <w:rtl w:val="0"/>
        </w:rPr>
      </w:r>
    </w:p>
    <w:tbl>
      <w:tblPr>
        <w:tblStyle w:val="Table1"/>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2985"/>
        <w:gridCol w:w="3360"/>
        <w:tblGridChange w:id="0">
          <w:tblGrid>
            <w:gridCol w:w="1935"/>
            <w:gridCol w:w="2985"/>
            <w:gridCol w:w="3360"/>
          </w:tblGrid>
        </w:tblGridChange>
      </w:tblGrid>
      <w:tr>
        <w:trPr>
          <w:cantSplit w:val="0"/>
          <w:trHeight w:val="620.925292968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6">
            <w:pPr>
              <w:widowControl w:val="0"/>
              <w:spacing w:line="240" w:lineRule="auto"/>
              <w:jc w:val="center"/>
              <w:rPr>
                <w:color w:val="2222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7">
            <w:pPr>
              <w:spacing w:after="240" w:before="240" w:lineRule="auto"/>
              <w:jc w:val="center"/>
              <w:rPr>
                <w:b w:val="1"/>
                <w:color w:val="222222"/>
              </w:rPr>
            </w:pPr>
            <w:r w:rsidDel="00000000" w:rsidR="00000000" w:rsidRPr="00000000">
              <w:rPr>
                <w:b w:val="1"/>
                <w:color w:val="222222"/>
                <w:rtl w:val="0"/>
              </w:rPr>
              <w:t xml:space="preserve">  Nurserie en suspension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8">
            <w:pPr>
              <w:spacing w:after="240" w:before="240" w:lineRule="auto"/>
              <w:jc w:val="center"/>
              <w:rPr>
                <w:b w:val="1"/>
                <w:color w:val="222222"/>
              </w:rPr>
            </w:pPr>
            <w:r w:rsidDel="00000000" w:rsidR="00000000" w:rsidRPr="00000000">
              <w:rPr>
                <w:b w:val="1"/>
                <w:color w:val="222222"/>
                <w:rtl w:val="0"/>
              </w:rPr>
              <w:t xml:space="preserve">Nurserie plaquée sur quai</w:t>
            </w:r>
          </w:p>
        </w:tc>
      </w:tr>
      <w:tr>
        <w:trPr>
          <w:cantSplit w:val="0"/>
          <w:trHeight w:val="425.925292968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9">
            <w:pPr>
              <w:spacing w:after="240" w:before="240" w:lineRule="auto"/>
              <w:jc w:val="center"/>
              <w:rPr>
                <w:b w:val="1"/>
                <w:color w:val="222222"/>
              </w:rPr>
            </w:pPr>
            <w:r w:rsidDel="00000000" w:rsidR="00000000" w:rsidRPr="00000000">
              <w:rPr>
                <w:b w:val="1"/>
                <w:color w:val="222222"/>
                <w:rtl w:val="0"/>
              </w:rPr>
              <w:t xml:space="preserve">Remplissage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0A">
            <w:pPr>
              <w:spacing w:after="240" w:before="240" w:lineRule="auto"/>
              <w:jc w:val="center"/>
              <w:rPr>
                <w:color w:val="ff0000"/>
              </w:rPr>
            </w:pPr>
            <w:r w:rsidDel="00000000" w:rsidR="00000000" w:rsidRPr="00000000">
              <w:rPr>
                <w:color w:val="222222"/>
                <w:rtl w:val="0"/>
              </w:rPr>
              <w:t xml:space="preserve">Huîtres, pouzzolane, branches, liège,...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jc w:val="center"/>
              <w:rPr>
                <w:b w:val="1"/>
                <w:color w:val="222222"/>
              </w:rPr>
            </w:pPr>
            <w:r w:rsidDel="00000000" w:rsidR="00000000" w:rsidRPr="00000000">
              <w:rPr>
                <w:b w:val="1"/>
                <w:color w:val="222222"/>
                <w:rtl w:val="0"/>
              </w:rPr>
              <w:t xml:space="preserve">Support pour le substrat</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0D">
            <w:pPr>
              <w:spacing w:after="240" w:before="240" w:lineRule="auto"/>
              <w:jc w:val="center"/>
              <w:rPr>
                <w:color w:val="222222"/>
              </w:rPr>
            </w:pPr>
            <w:r w:rsidDel="00000000" w:rsidR="00000000" w:rsidRPr="00000000">
              <w:rPr>
                <w:color w:val="222222"/>
                <w:rtl w:val="0"/>
              </w:rPr>
              <w:t xml:space="preserve">Grille galvanisée à petites mailles</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b w:val="1"/>
                <w:color w:val="222222"/>
              </w:rPr>
            </w:pPr>
            <w:r w:rsidDel="00000000" w:rsidR="00000000" w:rsidRPr="00000000">
              <w:rPr>
                <w:b w:val="1"/>
                <w:color w:val="222222"/>
                <w:rtl w:val="0"/>
              </w:rPr>
              <w:t xml:space="preserve">Dimensions extérieures (Lxlxh)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spacing w:after="240" w:before="240" w:lineRule="auto"/>
              <w:jc w:val="center"/>
              <w:rPr>
                <w:color w:val="222222"/>
              </w:rPr>
            </w:pPr>
            <w:r w:rsidDel="00000000" w:rsidR="00000000" w:rsidRPr="00000000">
              <w:rPr>
                <w:color w:val="222222"/>
                <w:rtl w:val="0"/>
              </w:rPr>
              <w:t xml:space="preserve">1x0,5x1 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spacing w:after="240" w:before="240" w:lineRule="auto"/>
              <w:jc w:val="center"/>
              <w:rPr>
                <w:color w:val="222222"/>
              </w:rPr>
            </w:pPr>
            <w:r w:rsidDel="00000000" w:rsidR="00000000" w:rsidRPr="00000000">
              <w:rPr>
                <w:color w:val="222222"/>
                <w:rtl w:val="0"/>
              </w:rPr>
              <w:t xml:space="preserve">0,8x0,3x0,8 m</w:t>
            </w:r>
          </w:p>
        </w:tc>
      </w:tr>
      <w:tr>
        <w:trPr>
          <w:cantSplit w:val="0"/>
          <w:trHeight w:val="1358.7011718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2">
            <w:pPr>
              <w:spacing w:after="240" w:before="240" w:lineRule="auto"/>
              <w:jc w:val="center"/>
              <w:rPr>
                <w:b w:val="1"/>
                <w:color w:val="222222"/>
              </w:rPr>
            </w:pPr>
            <w:r w:rsidDel="00000000" w:rsidR="00000000" w:rsidRPr="00000000">
              <w:rPr>
                <w:b w:val="1"/>
                <w:color w:val="222222"/>
                <w:rtl w:val="0"/>
              </w:rPr>
              <w:t xml:space="preserve">Dispositif de maintien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spacing w:after="240" w:before="240" w:lineRule="auto"/>
              <w:jc w:val="center"/>
              <w:rPr>
                <w:color w:val="222222"/>
              </w:rPr>
            </w:pPr>
            <w:r w:rsidDel="00000000" w:rsidR="00000000" w:rsidRPr="00000000">
              <w:rPr>
                <w:color w:val="222222"/>
                <w:rtl w:val="0"/>
              </w:rPr>
              <w:t xml:space="preserve">Par kit inox fourni (câble, serre-câble, anneau/crochet)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spacing w:after="240" w:before="240" w:lineRule="auto"/>
              <w:jc w:val="center"/>
              <w:rPr>
                <w:color w:val="222222"/>
              </w:rPr>
            </w:pPr>
            <w:r w:rsidDel="00000000" w:rsidR="00000000" w:rsidRPr="00000000">
              <w:rPr>
                <w:color w:val="222222"/>
                <w:rtl w:val="0"/>
              </w:rPr>
              <w:t xml:space="preserve">Par kit platine de fixation fourni (platine et visserie) ou Par kit inox fourni (câble, serre-câble, anneau/crochet)</w:t>
            </w:r>
          </w:p>
        </w:tc>
      </w:tr>
    </w:tbl>
    <w:p w:rsidR="00000000" w:rsidDel="00000000" w:rsidP="00000000" w:rsidRDefault="00000000" w:rsidRPr="00000000" w14:paraId="00000015">
      <w:pPr>
        <w:spacing w:after="240" w:before="240" w:lineRule="auto"/>
        <w:jc w:val="both"/>
        <w:rPr>
          <w:color w:val="222222"/>
        </w:rPr>
      </w:pPr>
      <w:r w:rsidDel="00000000" w:rsidR="00000000" w:rsidRPr="00000000">
        <w:rPr>
          <w:color w:val="222222"/>
          <w:rtl w:val="0"/>
        </w:rPr>
        <w:t xml:space="preserve">Options : </w:t>
      </w:r>
    </w:p>
    <w:p w:rsidR="00000000" w:rsidDel="00000000" w:rsidP="00000000" w:rsidRDefault="00000000" w:rsidRPr="00000000" w14:paraId="00000016">
      <w:pPr>
        <w:spacing w:after="240" w:before="240" w:lineRule="auto"/>
        <w:jc w:val="both"/>
        <w:rPr>
          <w:color w:val="222222"/>
        </w:rPr>
      </w:pPr>
      <w:r w:rsidDel="00000000" w:rsidR="00000000" w:rsidRPr="00000000">
        <w:rPr>
          <w:color w:val="222222"/>
          <w:rtl w:val="0"/>
        </w:rPr>
        <w:t xml:space="preserve">Grilles périphériques extérieures en mailles de 100x50 mm selon les prédateurs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BPU :</w:t>
      </w:r>
    </w:p>
    <w:p w:rsidR="00000000" w:rsidDel="00000000" w:rsidP="00000000" w:rsidRDefault="00000000" w:rsidRPr="00000000" w14:paraId="00000019">
      <w:pPr>
        <w:jc w:val="both"/>
        <w:rPr/>
      </w:pPr>
      <w:r w:rsidDel="00000000" w:rsidR="00000000" w:rsidRPr="00000000">
        <w:rPr>
          <w:rtl w:val="0"/>
        </w:rPr>
        <w:t xml:space="preserve">Fourniture et installation de nurserie aquatique</w:t>
      </w:r>
    </w:p>
    <w:p w:rsidR="00000000" w:rsidDel="00000000" w:rsidP="00000000" w:rsidRDefault="00000000" w:rsidRPr="00000000" w14:paraId="0000001A">
      <w:pPr>
        <w:jc w:val="both"/>
        <w:rPr>
          <w:b w:val="1"/>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Ce prix rémunère à l’unité, la fourniture et la mise en œuvre de nurserie aquatique, conformément aux prescriptions du CCTP.</w:t>
      </w:r>
    </w:p>
    <w:p w:rsidR="00000000" w:rsidDel="00000000" w:rsidP="00000000" w:rsidRDefault="00000000" w:rsidRPr="00000000" w14:paraId="0000001C">
      <w:pPr>
        <w:jc w:val="both"/>
        <w:rPr/>
      </w:pPr>
      <w:r w:rsidDel="00000000" w:rsidR="00000000" w:rsidRPr="00000000">
        <w:rPr>
          <w:rtl w:val="0"/>
        </w:rPr>
        <w:t xml:space="preserve">Ce prix comprend:</w:t>
      </w:r>
    </w:p>
    <w:p w:rsidR="00000000" w:rsidDel="00000000" w:rsidP="00000000" w:rsidRDefault="00000000" w:rsidRPr="00000000" w14:paraId="0000001D">
      <w:pPr>
        <w:jc w:val="both"/>
        <w:rPr/>
      </w:pPr>
      <w:r w:rsidDel="00000000" w:rsidR="00000000" w:rsidRPr="00000000">
        <w:rPr>
          <w:rtl w:val="0"/>
        </w:rPr>
        <w:t xml:space="preserve">- La fourniture, la livraison, le déchargement, l'amenée à pied d'œuvre, la pose</w:t>
      </w:r>
    </w:p>
    <w:p w:rsidR="00000000" w:rsidDel="00000000" w:rsidP="00000000" w:rsidRDefault="00000000" w:rsidRPr="00000000" w14:paraId="0000001E">
      <w:pPr>
        <w:jc w:val="both"/>
        <w:rPr/>
      </w:pPr>
      <w:r w:rsidDel="00000000" w:rsidR="00000000" w:rsidRPr="00000000">
        <w:rPr>
          <w:rtl w:val="0"/>
        </w:rPr>
        <w:t xml:space="preserve">- L'ensemble des prestations nécessaires à l'installation conformément aux prescriptions du CCTP</w:t>
      </w:r>
    </w:p>
    <w:p w:rsidR="00000000" w:rsidDel="00000000" w:rsidP="00000000" w:rsidRDefault="00000000" w:rsidRPr="00000000" w14:paraId="0000001F">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L'unité.....</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DQE :</w:t>
      </w:r>
    </w:p>
    <w:p w:rsidR="00000000" w:rsidDel="00000000" w:rsidP="00000000" w:rsidRDefault="00000000" w:rsidRPr="00000000" w14:paraId="00000025">
      <w:pPr>
        <w:jc w:val="both"/>
        <w:rPr/>
      </w:pPr>
      <w:r w:rsidDel="00000000" w:rsidR="00000000" w:rsidRPr="00000000">
        <w:rPr>
          <w:rtl w:val="0"/>
        </w:rPr>
        <w:t xml:space="preserve">Fourniture et installation de nurserie aquatique</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L'unité……</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rPr>
    </w:pPr>
    <w:r w:rsidDel="00000000" w:rsidR="00000000" w:rsidRPr="00000000">
      <w:rPr>
        <w:i w:val="1"/>
        <w:rtl w:val="0"/>
      </w:rPr>
      <w:t xml:space="preserve">NATURA GABIONS</w:t>
    </w:r>
  </w:p>
  <w:p w:rsidR="00000000" w:rsidDel="00000000" w:rsidP="00000000" w:rsidRDefault="00000000" w:rsidRPr="00000000" w14:paraId="0000002A">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B">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Nurserie aquatique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