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Le paillage </w:t>
      </w:r>
      <w:r w:rsidDel="00000000" w:rsidR="00000000" w:rsidRPr="00000000">
        <w:rPr>
          <w:color w:val="222222"/>
          <w:rtl w:val="0"/>
        </w:rPr>
        <w:t xml:space="preserve">plantes envahissantes est une technique de lutte contre les espèces invasives telles que la renouée du Japon, le chiendent, le bambou, la canne de Provence,...., connues pour être particulièrement résistantes. Le paillage co</w:t>
      </w:r>
      <w:r w:rsidDel="00000000" w:rsidR="00000000" w:rsidRPr="00000000">
        <w:rPr>
          <w:rtl w:val="0"/>
        </w:rPr>
        <w:t xml:space="preserve">nsiste à recouvrir les zones infestées d’un matériau opaque et étanche à la lumière pour empêcher la repousse des invasives.</w:t>
      </w:r>
    </w:p>
    <w:p w:rsidR="00000000" w:rsidDel="00000000" w:rsidP="00000000" w:rsidRDefault="00000000" w:rsidRPr="00000000" w14:paraId="00000003">
      <w:pPr>
        <w:jc w:val="both"/>
        <w:rPr/>
      </w:pPr>
      <w:r w:rsidDel="00000000" w:rsidR="00000000" w:rsidRPr="00000000">
        <w:rPr>
          <w:rtl w:val="0"/>
        </w:rPr>
        <w:t xml:space="preserve">Pour cela, le paillage à forte résistance mécanique prive les plantes d’air, d’eau et de lumière (blocage de la photosynthèse), ce qui épuise leurs réserves et empêche leur développement.</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Ce poste correspond à la fourniture et à la mise en œuvre d'une toile de paillage </w:t>
      </w:r>
      <w:r w:rsidDel="00000000" w:rsidR="00000000" w:rsidRPr="00000000">
        <w:rPr>
          <w:color w:val="222222"/>
          <w:rtl w:val="0"/>
        </w:rPr>
        <w:t xml:space="preserve">plantes envahissantes</w:t>
      </w:r>
      <w:r w:rsidDel="00000000" w:rsidR="00000000" w:rsidRPr="00000000">
        <w:rPr>
          <w:rtl w:val="0"/>
        </w:rPr>
        <w:t xml:space="preserve"> pour lutter contre la renouée du Japon (ET/OU chiendent, bambou, canne de provence,...).</w:t>
      </w:r>
    </w:p>
    <w:p w:rsidR="00000000" w:rsidDel="00000000" w:rsidP="00000000" w:rsidRDefault="00000000" w:rsidRPr="00000000" w14:paraId="00000006">
      <w:pPr>
        <w:jc w:val="both"/>
        <w:rPr/>
      </w:pPr>
      <w:r w:rsidDel="00000000" w:rsidR="00000000" w:rsidRPr="00000000">
        <w:rPr>
          <w:rtl w:val="0"/>
        </w:rPr>
        <w:t xml:space="preserve">Le recouvrement des lés sera de 30 cm minimum afin d'éviter la repousse des mauvaises herbes. Des tranchées en tête et en pied de talus seront effectuées pour permettre un bon ancrage du paillage. Tout élément déchiré lors de la pose devra être déposé puis reposé à neuf.</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color w:val="ffff00"/>
        </w:rPr>
      </w:pPr>
      <w:r w:rsidDel="00000000" w:rsidR="00000000" w:rsidRPr="00000000">
        <w:rPr>
          <w:rtl w:val="0"/>
        </w:rPr>
        <w:t xml:space="preserve">La Maîtrise d'œuvre devra valider la provenance de la toile de paillage </w:t>
      </w:r>
      <w:r w:rsidDel="00000000" w:rsidR="00000000" w:rsidRPr="00000000">
        <w:rPr>
          <w:color w:val="222222"/>
          <w:rtl w:val="0"/>
        </w:rPr>
        <w:t xml:space="preserve">plantes envahissantes</w:t>
      </w:r>
      <w:r w:rsidDel="00000000" w:rsidR="00000000" w:rsidRPr="00000000">
        <w:rPr>
          <w:rtl w:val="0"/>
        </w:rPr>
        <w:t xml:space="preserve"> et elle sera de type Natura Gabions ou de qualité au moins équivalente.</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Caractéristiques du paillage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w:t>
      </w:r>
      <w:r w:rsidDel="00000000" w:rsidR="00000000" w:rsidRPr="00000000">
        <w:rPr>
          <w:rtl w:val="0"/>
        </w:rPr>
        <w:t xml:space="preserve">Paillage à </w:t>
      </w:r>
      <w:r w:rsidDel="00000000" w:rsidR="00000000" w:rsidRPr="00000000">
        <w:rPr>
          <w:rtl w:val="0"/>
        </w:rPr>
        <w:t xml:space="preserve">100% </w:t>
      </w:r>
      <w:r w:rsidDel="00000000" w:rsidR="00000000" w:rsidRPr="00000000">
        <w:rPr>
          <w:rtl w:val="0"/>
        </w:rPr>
        <w:t xml:space="preserve">polypropylène stabilisé aux UV</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- 240 gr/m²</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Epaisseur : 0,64 mm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Résistances à la traction : 18 kN/m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Coloris noir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Perméabilité à l'eau : 15 mm/s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Recouvrement entre lés : 30 cm minimum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w:t>
      </w:r>
      <w:r w:rsidDel="00000000" w:rsidR="00000000" w:rsidRPr="00000000">
        <w:rPr>
          <w:rtl w:val="0"/>
        </w:rPr>
        <w:t xml:space="preserve"> Collage : thermolié ou collage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BPU :</w:t>
      </w:r>
    </w:p>
    <w:p w:rsidR="00000000" w:rsidDel="00000000" w:rsidP="00000000" w:rsidRDefault="00000000" w:rsidRPr="00000000" w14:paraId="00000016">
      <w:pPr>
        <w:jc w:val="both"/>
        <w:rPr/>
      </w:pPr>
      <w:r w:rsidDel="00000000" w:rsidR="00000000" w:rsidRPr="00000000">
        <w:rPr>
          <w:rtl w:val="0"/>
        </w:rPr>
        <w:t xml:space="preserve">Fourniture et pose de paillage </w:t>
      </w:r>
      <w:r w:rsidDel="00000000" w:rsidR="00000000" w:rsidRPr="00000000">
        <w:rPr>
          <w:rtl w:val="0"/>
        </w:rPr>
        <w:t xml:space="preserve">plantes envahissantes </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Ce prix rémunère au mètre carré de surface couverte hors recouvrement, la fourniture et la mise en œuvre de paillage, conformément aux prescriptions du CCTP.</w:t>
      </w:r>
    </w:p>
    <w:p w:rsidR="00000000" w:rsidDel="00000000" w:rsidP="00000000" w:rsidRDefault="00000000" w:rsidRPr="00000000" w14:paraId="00000019">
      <w:pPr>
        <w:jc w:val="both"/>
        <w:rPr/>
      </w:pPr>
      <w:r w:rsidDel="00000000" w:rsidR="00000000" w:rsidRPr="00000000">
        <w:rPr>
          <w:rtl w:val="0"/>
        </w:rPr>
        <w:t xml:space="preserve">La quantité prise en compte sera la surface effectivement recouverte (hors surfaces perdues en recouvrements).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Ce prix comprend :</w:t>
      </w:r>
    </w:p>
    <w:p w:rsidR="00000000" w:rsidDel="00000000" w:rsidP="00000000" w:rsidRDefault="00000000" w:rsidRPr="00000000" w14:paraId="0000001C">
      <w:pPr>
        <w:jc w:val="both"/>
        <w:rPr/>
      </w:pPr>
      <w:r w:rsidDel="00000000" w:rsidR="00000000" w:rsidRPr="00000000">
        <w:rPr>
          <w:rtl w:val="0"/>
        </w:rPr>
        <w:t xml:space="preserve">- La fourniture, la livraison, le déchargement, l'amenée à pied d'œuvre de la toile de paillage et des accessoires</w:t>
      </w:r>
    </w:p>
    <w:p w:rsidR="00000000" w:rsidDel="00000000" w:rsidP="00000000" w:rsidRDefault="00000000" w:rsidRPr="00000000" w14:paraId="0000001D">
      <w:pPr>
        <w:jc w:val="both"/>
        <w:rPr/>
      </w:pPr>
      <w:r w:rsidDel="00000000" w:rsidR="00000000" w:rsidRPr="00000000">
        <w:rPr>
          <w:rtl w:val="0"/>
        </w:rPr>
        <w:t xml:space="preserve">- L'ensemble des prestations nécessaires à la plantation conformément aux prescriptions du CCTP dont le thermoliage des lés de paillage</w:t>
      </w:r>
    </w:p>
    <w:p w:rsidR="00000000" w:rsidDel="00000000" w:rsidP="00000000" w:rsidRDefault="00000000" w:rsidRPr="00000000" w14:paraId="0000001E">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DQE :</w:t>
      </w:r>
    </w:p>
    <w:p w:rsidR="00000000" w:rsidDel="00000000" w:rsidP="00000000" w:rsidRDefault="00000000" w:rsidRPr="00000000" w14:paraId="00000024">
      <w:pPr>
        <w:jc w:val="both"/>
        <w:rPr/>
      </w:pPr>
      <w:r w:rsidDel="00000000" w:rsidR="00000000" w:rsidRPr="00000000">
        <w:rPr>
          <w:rtl w:val="0"/>
        </w:rPr>
        <w:t xml:space="preserve">Fourniture et pose de paillage plantes envahissantes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i w:val="1"/>
      </w:rPr>
    </w:pPr>
    <w:r w:rsidDel="00000000" w:rsidR="00000000" w:rsidRPr="00000000">
      <w:rPr>
        <w:i w:val="1"/>
        <w:rtl w:val="0"/>
      </w:rPr>
      <w:t xml:space="preserve">NATURA GABIONS</w:t>
    </w:r>
  </w:p>
  <w:p w:rsidR="00000000" w:rsidDel="00000000" w:rsidP="00000000" w:rsidRDefault="00000000" w:rsidRPr="00000000" w14:paraId="0000002B">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C">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Paillage </w:t>
    </w:r>
    <w:r w:rsidDel="00000000" w:rsidR="00000000" w:rsidRPr="00000000">
      <w:rPr>
        <w:b w:val="1"/>
        <w:color w:val="222222"/>
        <w:sz w:val="28"/>
        <w:szCs w:val="28"/>
        <w:rtl w:val="0"/>
      </w:rPr>
      <w:t xml:space="preserve">plantes envahissantes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