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color w:val="222222"/>
        </w:rPr>
      </w:pPr>
      <w:r w:rsidDel="00000000" w:rsidR="00000000" w:rsidRPr="00000000">
        <w:rPr>
          <w:b w:val="1"/>
          <w:rtl w:val="0"/>
        </w:rPr>
        <w:t xml:space="preserve">CCTP :</w:t>
      </w:r>
      <w:r w:rsidDel="00000000" w:rsidR="00000000" w:rsidRPr="00000000">
        <w:rPr>
          <w:rtl w:val="0"/>
        </w:rPr>
      </w:r>
    </w:p>
    <w:p w:rsidR="00000000" w:rsidDel="00000000" w:rsidP="00000000" w:rsidRDefault="00000000" w:rsidRPr="00000000" w14:paraId="00000002">
      <w:pPr>
        <w:jc w:val="both"/>
        <w:rPr/>
      </w:pPr>
      <w:r w:rsidDel="00000000" w:rsidR="00000000" w:rsidRPr="00000000">
        <w:rPr>
          <w:color w:val="222222"/>
          <w:rtl w:val="0"/>
        </w:rPr>
        <w:t xml:space="preserve">Le paillage biodégradable PLA est fabriqué avec un polymère biodégradable issu entièrement de ressources renouvelables (sucre de maïs, betterave ou canne à sucre sans OGM). Cette toile de paillage est 100% biosourcée et bio compostable. Selon le paillage utilisé, des fibres de chanvre peuvent être ajoutées (100% naturels, sans colle, sans adjuvant) avec un process de fabrication écologique.</w:t>
      </w: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Ce poste correspond à la fourniture et à la mise en œuvre d'une toile de paillage biodégradable en PLA pour lutter contre les adventices.</w:t>
      </w:r>
    </w:p>
    <w:p w:rsidR="00000000" w:rsidDel="00000000" w:rsidP="00000000" w:rsidRDefault="00000000" w:rsidRPr="00000000" w14:paraId="00000004">
      <w:pPr>
        <w:jc w:val="both"/>
        <w:rPr/>
      </w:pPr>
      <w:r w:rsidDel="00000000" w:rsidR="00000000" w:rsidRPr="00000000">
        <w:rPr>
          <w:rtl w:val="0"/>
        </w:rPr>
        <w:t xml:space="preserve">Pour la fixation au sol du paillage, l'entrepreneur fournira des agrafes biodégradables en bois de 30 cm de longueur. La toile sera déroulée et agrafée à raison d'au moins 3 agrafes par m</w:t>
      </w:r>
      <w:r w:rsidDel="00000000" w:rsidR="00000000" w:rsidRPr="00000000">
        <w:rPr>
          <w:color w:val="222222"/>
          <w:rtl w:val="0"/>
        </w:rPr>
        <w:t xml:space="preserve">²</w:t>
      </w:r>
      <w:r w:rsidDel="00000000" w:rsidR="00000000" w:rsidRPr="00000000">
        <w:rPr>
          <w:rtl w:val="0"/>
        </w:rPr>
        <w:t xml:space="preserve">. Le recouvrement des lés sera de 15 cm minimum afin d'éviter la repousse des mauvaises herbes. Des tranchées en tête et en pied de talus seront effectuées pour permettre un bon ancrage du paillage. Tout élément déchiré lors de la pose devra être déposé puis reposé à neuf.</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color w:val="ffff00"/>
        </w:rPr>
      </w:pPr>
      <w:r w:rsidDel="00000000" w:rsidR="00000000" w:rsidRPr="00000000">
        <w:rPr>
          <w:rtl w:val="0"/>
        </w:rPr>
        <w:t xml:space="preserve">La Maîtrise d'œuvre devra valider la provenance de la toile de paillage en PLA et elle sera de type Natura Gabions ou de qualité au moins équivalente.</w:t>
      </w: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Caractéristiques du paillage (dégradabilité de 24 à 36 mois) :</w:t>
      </w:r>
    </w:p>
    <w:p w:rsidR="00000000" w:rsidDel="00000000" w:rsidP="00000000" w:rsidRDefault="00000000" w:rsidRPr="00000000" w14:paraId="00000009">
      <w:pPr>
        <w:jc w:val="both"/>
        <w:rPr/>
      </w:pPr>
      <w:r w:rsidDel="00000000" w:rsidR="00000000" w:rsidRPr="00000000">
        <w:rPr>
          <w:rtl w:val="0"/>
        </w:rPr>
        <w:t xml:space="preserve">- Paillage à </w:t>
      </w:r>
      <w:r w:rsidDel="00000000" w:rsidR="00000000" w:rsidRPr="00000000">
        <w:rPr>
          <w:highlight w:val="white"/>
          <w:rtl w:val="0"/>
        </w:rPr>
        <w:t xml:space="preserve">95% PLA (acide polylactique) et 5% chanvre</w:t>
      </w: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- 155 gr/m</w:t>
      </w:r>
      <w:r w:rsidDel="00000000" w:rsidR="00000000" w:rsidRPr="00000000">
        <w:rPr>
          <w:color w:val="222222"/>
          <w:rtl w:val="0"/>
        </w:rPr>
        <w:t xml:space="preserve">²</w:t>
      </w: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 Epaisseur 1,2 mm</w:t>
      </w:r>
    </w:p>
    <w:p w:rsidR="00000000" w:rsidDel="00000000" w:rsidP="00000000" w:rsidRDefault="00000000" w:rsidRPr="00000000" w14:paraId="0000000C">
      <w:pPr>
        <w:jc w:val="both"/>
        <w:rPr/>
      </w:pPr>
      <w:r w:rsidDel="00000000" w:rsidR="00000000" w:rsidRPr="00000000">
        <w:rPr>
          <w:rtl w:val="0"/>
        </w:rPr>
        <w:t xml:space="preserve">- </w:t>
      </w:r>
      <w:r w:rsidDel="00000000" w:rsidR="00000000" w:rsidRPr="00000000">
        <w:rPr>
          <w:color w:val="222222"/>
          <w:rtl w:val="0"/>
        </w:rPr>
        <w:t xml:space="preserve">Résistances à la traction (sens Production x sens travers) : 3 x 2,5 kN/m</w:t>
      </w: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 Coloris </w:t>
      </w:r>
      <w:r w:rsidDel="00000000" w:rsidR="00000000" w:rsidRPr="00000000">
        <w:rPr>
          <w:color w:val="222222"/>
          <w:rtl w:val="0"/>
        </w:rPr>
        <w:t xml:space="preserve">brun/marron</w:t>
      </w: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 Perméabilité à l'eau : 129 </w:t>
      </w:r>
      <w:r w:rsidDel="00000000" w:rsidR="00000000" w:rsidRPr="00000000">
        <w:rPr>
          <w:color w:val="222222"/>
          <w:rtl w:val="0"/>
        </w:rPr>
        <w:t xml:space="preserve">L/m²/s</w:t>
      </w: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OU Caractéristiques du paillage (dégradabilité de 36 à 48 mois) :</w:t>
      </w:r>
    </w:p>
    <w:p w:rsidR="00000000" w:rsidDel="00000000" w:rsidP="00000000" w:rsidRDefault="00000000" w:rsidRPr="00000000" w14:paraId="00000011">
      <w:pPr>
        <w:jc w:val="both"/>
        <w:rPr/>
      </w:pPr>
      <w:r w:rsidDel="00000000" w:rsidR="00000000" w:rsidRPr="00000000">
        <w:rPr>
          <w:rtl w:val="0"/>
        </w:rPr>
        <w:t xml:space="preserve">- Paillage à </w:t>
      </w:r>
      <w:r w:rsidDel="00000000" w:rsidR="00000000" w:rsidRPr="00000000">
        <w:rPr>
          <w:highlight w:val="white"/>
          <w:rtl w:val="0"/>
        </w:rPr>
        <w:t xml:space="preserve">100% PLA (acide polylactique)</w:t>
      </w: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- 190 gr/m</w:t>
      </w:r>
      <w:r w:rsidDel="00000000" w:rsidR="00000000" w:rsidRPr="00000000">
        <w:rPr>
          <w:color w:val="222222"/>
          <w:rtl w:val="0"/>
        </w:rPr>
        <w:t xml:space="preserve">²</w:t>
      </w: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 Epaisseur 1,5 mm</w:t>
      </w:r>
    </w:p>
    <w:p w:rsidR="00000000" w:rsidDel="00000000" w:rsidP="00000000" w:rsidRDefault="00000000" w:rsidRPr="00000000" w14:paraId="00000014">
      <w:pPr>
        <w:jc w:val="both"/>
        <w:rPr/>
      </w:pPr>
      <w:r w:rsidDel="00000000" w:rsidR="00000000" w:rsidRPr="00000000">
        <w:rPr>
          <w:rtl w:val="0"/>
        </w:rPr>
        <w:t xml:space="preserve">- </w:t>
      </w:r>
      <w:r w:rsidDel="00000000" w:rsidR="00000000" w:rsidRPr="00000000">
        <w:rPr>
          <w:color w:val="222222"/>
          <w:rtl w:val="0"/>
        </w:rPr>
        <w:t xml:space="preserve">Résistances à la traction (sens Production x sens travers) : 4,5 x 3 kN/m</w:t>
      </w: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 Coloris </w:t>
      </w:r>
      <w:r w:rsidDel="00000000" w:rsidR="00000000" w:rsidRPr="00000000">
        <w:rPr>
          <w:color w:val="222222"/>
          <w:rtl w:val="0"/>
        </w:rPr>
        <w:t xml:space="preserve">brun/marron</w:t>
      </w: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 Perméabilité à l'eau : 125 </w:t>
      </w:r>
      <w:r w:rsidDel="00000000" w:rsidR="00000000" w:rsidRPr="00000000">
        <w:rPr>
          <w:color w:val="222222"/>
          <w:rtl w:val="0"/>
        </w:rPr>
        <w:t xml:space="preserve">L/m²/s</w:t>
      </w: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b w:val="1"/>
        </w:rPr>
      </w:pPr>
      <w:r w:rsidDel="00000000" w:rsidR="00000000" w:rsidRPr="00000000">
        <w:rPr>
          <w:b w:val="1"/>
          <w:rtl w:val="0"/>
        </w:rPr>
        <w:t xml:space="preserve">BPU :</w:t>
      </w:r>
    </w:p>
    <w:p w:rsidR="00000000" w:rsidDel="00000000" w:rsidP="00000000" w:rsidRDefault="00000000" w:rsidRPr="00000000" w14:paraId="00000019">
      <w:pPr>
        <w:jc w:val="both"/>
        <w:rPr/>
      </w:pPr>
      <w:r w:rsidDel="00000000" w:rsidR="00000000" w:rsidRPr="00000000">
        <w:rPr>
          <w:rtl w:val="0"/>
        </w:rPr>
        <w:t xml:space="preserve">Fourniture et pose de paillage en PLA</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t xml:space="preserve">Ce prix rémunère au mètre carré de surface couverte hors recouvrement, la fourniture et la mise en œuvre de paillage, conformément aux prescriptions du CCTP.</w:t>
      </w:r>
    </w:p>
    <w:p w:rsidR="00000000" w:rsidDel="00000000" w:rsidP="00000000" w:rsidRDefault="00000000" w:rsidRPr="00000000" w14:paraId="0000001C">
      <w:pPr>
        <w:jc w:val="both"/>
        <w:rPr/>
      </w:pPr>
      <w:r w:rsidDel="00000000" w:rsidR="00000000" w:rsidRPr="00000000">
        <w:rPr>
          <w:rtl w:val="0"/>
        </w:rPr>
        <w:t xml:space="preserve">La quantité prise en compte sera la surface effectivement recouverte (hors surfaces perdues en recouvrements).</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t xml:space="preserve">Ce prix comprend :</w:t>
      </w:r>
    </w:p>
    <w:p w:rsidR="00000000" w:rsidDel="00000000" w:rsidP="00000000" w:rsidRDefault="00000000" w:rsidRPr="00000000" w14:paraId="0000001F">
      <w:pPr>
        <w:jc w:val="both"/>
        <w:rPr/>
      </w:pPr>
      <w:r w:rsidDel="00000000" w:rsidR="00000000" w:rsidRPr="00000000">
        <w:rPr>
          <w:rtl w:val="0"/>
        </w:rPr>
        <w:t xml:space="preserve">- La fourniture, la livraison, le déchargement, l'amenée à pied d'œuvre de la toile de paillage et des accessoires</w:t>
      </w:r>
    </w:p>
    <w:p w:rsidR="00000000" w:rsidDel="00000000" w:rsidP="00000000" w:rsidRDefault="00000000" w:rsidRPr="00000000" w14:paraId="00000020">
      <w:pPr>
        <w:jc w:val="both"/>
        <w:rPr/>
      </w:pPr>
      <w:r w:rsidDel="00000000" w:rsidR="00000000" w:rsidRPr="00000000">
        <w:rPr>
          <w:rtl w:val="0"/>
        </w:rPr>
        <w:t xml:space="preserve">- L'ensemble des prestations nécessaires à la plantation conformément aux prescriptions du CCTP dont la fixation par 3 agrafes biodégradables par m</w:t>
      </w:r>
      <w:r w:rsidDel="00000000" w:rsidR="00000000" w:rsidRPr="00000000">
        <w:rPr>
          <w:color w:val="222222"/>
          <w:rtl w:val="0"/>
        </w:rPr>
        <w:t xml:space="preserve">²</w:t>
      </w: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t xml:space="preserve">- Toutes les sujétions dues aux contraintes du site et liées à la méthodologie proposée par l'entrepreneur</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t xml:space="preserve">Le m</w:t>
      </w:r>
      <w:r w:rsidDel="00000000" w:rsidR="00000000" w:rsidRPr="00000000">
        <w:rPr>
          <w:color w:val="222222"/>
          <w:rtl w:val="0"/>
        </w:rPr>
        <w:t xml:space="preserve">²</w:t>
      </w:r>
      <w:r w:rsidDel="00000000" w:rsidR="00000000" w:rsidRPr="00000000">
        <w:rPr>
          <w:rtl w:val="0"/>
        </w:rPr>
        <w:t xml:space="preserve">.....</w:t>
      </w:r>
    </w:p>
    <w:p w:rsidR="00000000" w:rsidDel="00000000" w:rsidP="00000000" w:rsidRDefault="00000000" w:rsidRPr="00000000" w14:paraId="00000024">
      <w:pPr>
        <w:jc w:val="both"/>
        <w:rPr>
          <w:b w:val="1"/>
        </w:rPr>
      </w:pPr>
      <w:r w:rsidDel="00000000" w:rsidR="00000000" w:rsidRPr="00000000">
        <w:rPr>
          <w:rtl w:val="0"/>
        </w:rPr>
      </w:r>
    </w:p>
    <w:p w:rsidR="00000000" w:rsidDel="00000000" w:rsidP="00000000" w:rsidRDefault="00000000" w:rsidRPr="00000000" w14:paraId="00000025">
      <w:pPr>
        <w:jc w:val="both"/>
        <w:rPr>
          <w:b w:val="1"/>
        </w:rPr>
      </w:pPr>
      <w:r w:rsidDel="00000000" w:rsidR="00000000" w:rsidRPr="00000000">
        <w:rPr>
          <w:rtl w:val="0"/>
        </w:rPr>
      </w:r>
    </w:p>
    <w:p w:rsidR="00000000" w:rsidDel="00000000" w:rsidP="00000000" w:rsidRDefault="00000000" w:rsidRPr="00000000" w14:paraId="00000026">
      <w:pPr>
        <w:jc w:val="both"/>
        <w:rPr>
          <w:b w:val="1"/>
        </w:rPr>
      </w:pPr>
      <w:r w:rsidDel="00000000" w:rsidR="00000000" w:rsidRPr="00000000">
        <w:rPr>
          <w:b w:val="1"/>
          <w:rtl w:val="0"/>
        </w:rPr>
        <w:t xml:space="preserve">DQE :</w:t>
      </w:r>
    </w:p>
    <w:p w:rsidR="00000000" w:rsidDel="00000000" w:rsidP="00000000" w:rsidRDefault="00000000" w:rsidRPr="00000000" w14:paraId="00000027">
      <w:pPr>
        <w:jc w:val="both"/>
        <w:rPr/>
      </w:pPr>
      <w:r w:rsidDel="00000000" w:rsidR="00000000" w:rsidRPr="00000000">
        <w:rPr>
          <w:rtl w:val="0"/>
        </w:rPr>
        <w:t xml:space="preserve">Fourniture et pose de paillage en PLA</w:t>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jc w:val="both"/>
        <w:rPr/>
      </w:pPr>
      <w:r w:rsidDel="00000000" w:rsidR="00000000" w:rsidRPr="00000000">
        <w:rPr>
          <w:rtl w:val="0"/>
        </w:rPr>
        <w:t xml:space="preserve">Le m</w:t>
      </w:r>
      <w:r w:rsidDel="00000000" w:rsidR="00000000" w:rsidRPr="00000000">
        <w:rPr>
          <w:color w:val="222222"/>
          <w:rtl w:val="0"/>
        </w:rPr>
        <w:t xml:space="preserve">²</w:t>
      </w:r>
      <w:r w:rsidDel="00000000" w:rsidR="00000000" w:rsidRPr="00000000">
        <w:rPr>
          <w:rtl w:val="0"/>
        </w:rPr>
        <w:t xml:space="preserve">.....</w:t>
      </w:r>
    </w:p>
    <w:p w:rsidR="00000000" w:rsidDel="00000000" w:rsidP="00000000" w:rsidRDefault="00000000" w:rsidRPr="00000000" w14:paraId="0000002A">
      <w:pPr>
        <w:jc w:val="both"/>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jc w:val="center"/>
      <w:rPr>
        <w:i w:val="1"/>
      </w:rPr>
    </w:pPr>
    <w:r w:rsidDel="00000000" w:rsidR="00000000" w:rsidRPr="00000000">
      <w:rPr>
        <w:i w:val="1"/>
        <w:rtl w:val="0"/>
      </w:rPr>
      <w:t xml:space="preserve">NATURA GABIONS</w:t>
    </w:r>
  </w:p>
  <w:p w:rsidR="00000000" w:rsidDel="00000000" w:rsidP="00000000" w:rsidRDefault="00000000" w:rsidRPr="00000000" w14:paraId="0000002D">
    <w:pPr>
      <w:jc w:val="center"/>
      <w:rPr>
        <w:i w:val="1"/>
      </w:rPr>
    </w:pPr>
    <w:r w:rsidDel="00000000" w:rsidR="00000000" w:rsidRPr="00000000">
      <w:rPr>
        <w:i w:val="1"/>
        <w:rtl w:val="0"/>
      </w:rPr>
      <w:t xml:space="preserve">24 rue Jean-Baptiste Peru – 26200 MONTELIMAR – France</w:t>
    </w:r>
  </w:p>
  <w:p w:rsidR="00000000" w:rsidDel="00000000" w:rsidP="00000000" w:rsidRDefault="00000000" w:rsidRPr="00000000" w14:paraId="0000002E">
    <w:pPr>
      <w:jc w:val="center"/>
      <w:rPr>
        <w:i w:val="1"/>
      </w:rPr>
    </w:pPr>
    <w:r w:rsidDel="00000000" w:rsidR="00000000" w:rsidRPr="00000000">
      <w:rPr>
        <w:i w:val="1"/>
        <w:rtl w:val="0"/>
      </w:rPr>
      <w:t xml:space="preserve">+33 (0)6 31 34 40 72 - </w:t>
    </w:r>
    <w:hyperlink r:id="rId1">
      <w:r w:rsidDel="00000000" w:rsidR="00000000" w:rsidRPr="00000000">
        <w:rPr>
          <w:i w:val="1"/>
          <w:color w:val="1155cc"/>
          <w:u w:val="single"/>
          <w:rtl w:val="0"/>
        </w:rPr>
        <w:t xml:space="preserve">contact@naturagabions.fr</w:t>
      </w:r>
    </w:hyperlink>
    <w:r w:rsidDel="00000000" w:rsidR="00000000" w:rsidRPr="00000000">
      <w:rPr>
        <w:i w:val="1"/>
        <w:rtl w:val="0"/>
      </w:rPr>
      <w:t xml:space="preserve"> - </w:t>
    </w:r>
    <w:hyperlink r:id="rId2">
      <w:r w:rsidDel="00000000" w:rsidR="00000000" w:rsidRPr="00000000">
        <w:rPr>
          <w:i w:val="1"/>
          <w:color w:val="1155cc"/>
          <w:u w:val="single"/>
          <w:rtl w:val="0"/>
        </w:rPr>
        <w:t xml:space="preserve">www.naturagabions.fr</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jc w:val="center"/>
      <w:rPr>
        <w:b w:val="1"/>
        <w:sz w:val="28"/>
        <w:szCs w:val="28"/>
      </w:rPr>
    </w:pPr>
    <w:r w:rsidDel="00000000" w:rsidR="00000000" w:rsidRPr="00000000">
      <w:rPr>
        <w:b w:val="1"/>
        <w:sz w:val="28"/>
        <w:szCs w:val="28"/>
      </w:rPr>
      <w:pict>
        <v:shape id="PowerPlusWaterMarkObject1" style="position:absolute;width:548.196997914633pt;height:90.00306261077529pt;rotation:315;z-index:-503316481;mso-position-horizontal-relative:margin;mso-position-horizontal:center;mso-position-vertical-relative:margin;mso-position-vertical:center;" fillcolor="#e8eaed" stroked="f" type="#_x0000_t136">
          <v:fill angle="0" opacity="65536f"/>
          <v:textpath fitshape="t" string="Natura Gabions" style="font-family:&amp;quot;Arial&amp;quot;;font-size:1pt;"/>
        </v:shape>
      </w:pict>
    </w:r>
    <w:r w:rsidDel="00000000" w:rsidR="00000000" w:rsidRPr="00000000">
      <w:rPr>
        <w:b w:val="1"/>
        <w:sz w:val="28"/>
        <w:szCs w:val="28"/>
        <w:rtl w:val="0"/>
      </w:rPr>
      <w:t xml:space="preserve">Modèle CCTP/BPU/DQE : Paillage biodégradable PLA</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ntact@naturatechniques.fr" TargetMode="External"/><Relationship Id="rId2" Type="http://schemas.openxmlformats.org/officeDocument/2006/relationships/hyperlink" Target="http://www.naturatechniques.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